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E7" w:rsidRDefault="002E66E7" w:rsidP="002E66E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В целях реализации положений Нацио</w:t>
      </w:r>
      <w:bookmarkStart w:id="0" w:name="_GoBack"/>
      <w:bookmarkEnd w:id="0"/>
      <w:r w:rsidRPr="004B44B3">
        <w:rPr>
          <w:sz w:val="30"/>
          <w:szCs w:val="30"/>
        </w:rPr>
        <w:t xml:space="preserve">нальной стратегии противодействия коррупции, утвержденной </w:t>
      </w:r>
      <w:hyperlink r:id="rId10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1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муниципальной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в соответствии с Федеральным </w:t>
      </w:r>
      <w:hyperlink r:id="rId12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 xml:space="preserve">остановлением Главы города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4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5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7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8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органах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мероприятия,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ответственных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администрации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обеспечить контроль за</w:t>
      </w:r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противодействия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подведомстве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ждения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предприятиях,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контроль за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муниципальных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работу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коррупции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 xml:space="preserve">Плана и представление обобщенной информации органам администрации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аспоряжения.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4B44B3">
        <w:rPr>
          <w:sz w:val="30"/>
          <w:szCs w:val="30"/>
        </w:rPr>
        <w:t>4. Возложить сбор и обобщение информации об исполнении мероприятий, предусмотренных:</w:t>
      </w:r>
    </w:p>
    <w:p w:rsidR="004B44B3" w:rsidRPr="004B44B3" w:rsidRDefault="00B27E31" w:rsidP="0041053D">
      <w:pPr>
        <w:ind w:firstLine="709"/>
        <w:jc w:val="both"/>
        <w:rPr>
          <w:sz w:val="30"/>
          <w:szCs w:val="30"/>
        </w:rPr>
      </w:pPr>
      <w:hyperlink r:id="rId19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B27E3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B27E31" w:rsidP="0041053D">
      <w:pPr>
        <w:ind w:firstLine="709"/>
        <w:jc w:val="both"/>
        <w:rPr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B27E3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организационной работы администрации города;</w:t>
      </w:r>
    </w:p>
    <w:p w:rsidR="004B44B3" w:rsidRPr="0041053D" w:rsidRDefault="00B27E3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администрации города;</w:t>
      </w:r>
    </w:p>
    <w:p w:rsidR="004B44B3" w:rsidRPr="0041053D" w:rsidRDefault="00B27E3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B27E31" w:rsidP="0041053D">
      <w:pPr>
        <w:ind w:firstLine="709"/>
        <w:jc w:val="both"/>
        <w:rPr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новости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сайте администрации города, планов противодействия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муниципальных предприятий, муниципальных учреждений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проведения антикоррупционного мониторинга в соответствии с методикой проведения антикоррупционного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ходе их рассмотрения на предмет наличия информации о признаках коррупции в органах администрации города, муниципальных предприятиях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муниципальных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служащие)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распоряжением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муниципальных служащих органов администрации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несовершеннолетних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Красноярского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№ 5-1565 «Об особенностях правового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регулирования муниципальной службы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управление кадровой политики и организационной работы администрации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муниципальных учреждений и предприятий,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подведомственных муниципальных учреждений,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месяца,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правовых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нормативных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нормативных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предприятиях и муниципальных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муниципальные предприятия, муниципальные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принимаемых мер по протестам и требова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сроки, предусмотренные Федераль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ным </w:t>
            </w:r>
            <w:hyperlink r:id="rId26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Российской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юридическое управление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муниципальные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пределах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Подготовка и направление в органы администрации города актуальной информации об изменениях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в области торговой деятельности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проведенных в соответствии с требованиями Федерального </w:t>
            </w:r>
            <w:hyperlink r:id="rId27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осуществлении государственного контроля (надзора)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городского хозяйства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муниципального имущества и земельных отношений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сформированных земельных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демонтажу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социального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организаторы конкурсов (отборов), по результатам которых предоставляются субсидии (гранты) физическим и (или) юридическим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8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муниципальных услуг, предоставляемых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29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0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механизм получения муниципальных услуг в элек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Красноярска о состоянии осуществления закупок товаров, работ, услуг для муниципальных нужд (нужд заказчиков), выявленных контрольными и надзорными органами нарушениях, об изме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семинаров, 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заказа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предприятия, муниципальные учреждения,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1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учреждения, муниципальные предприятия,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функционирования в администрации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31" w:rsidRDefault="00B27E31" w:rsidP="00505793">
      <w:r>
        <w:separator/>
      </w:r>
    </w:p>
  </w:endnote>
  <w:endnote w:type="continuationSeparator" w:id="0">
    <w:p w:rsidR="00B27E31" w:rsidRDefault="00B27E31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31" w:rsidRDefault="00B27E31" w:rsidP="00505793">
      <w:r>
        <w:separator/>
      </w:r>
    </w:p>
  </w:footnote>
  <w:footnote w:type="continuationSeparator" w:id="0">
    <w:p w:rsidR="00B27E31" w:rsidRDefault="00B27E31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387173"/>
      <w:docPartObj>
        <w:docPartGallery w:val="Page Numbers (Top of Page)"/>
        <w:docPartUnique/>
      </w:docPartObj>
    </w:sdtPr>
    <w:sdtEndPr/>
    <w:sdtContent>
      <w:p w:rsidR="0041053D" w:rsidRDefault="0041053D" w:rsidP="004105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27E31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7A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80E0-4C6B-41BF-9A7E-B71503B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26" Type="http://schemas.openxmlformats.org/officeDocument/2006/relationships/hyperlink" Target="consultantplus://offline/ref=95AF5AF2F00699D517777D26FC1C0ECCA613202CA1B488E18979FE501D2F7531E57076F3AE0CDFF3B6B25B8A14v9M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5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29" Type="http://schemas.openxmlformats.org/officeDocument/2006/relationships/hyperlink" Target="consultantplus://offline/ref=95AF5AF2F00699D51777632BEA7051C3A61C7A29A7B382B1D525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E9B2C29DB966E8CA5F2348A8CBBCE268EE29C26EADC184EB96F3422891F9422E0A42D92F4CBE6CBFA9F273E84A15BCCI2FAG" TargetMode="External"/><Relationship Id="rId24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3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28" Type="http://schemas.openxmlformats.org/officeDocument/2006/relationships/hyperlink" Target="consultantplus://offline/ref=95AF5AF2F00699D51777632BEA7051C3A61C7A29A7B48AB6D12CF807427F7364B73028AAFE4094FFB5A4478B14800F0F33vEMEG" TargetMode="External"/><Relationship Id="rId10" Type="http://schemas.openxmlformats.org/officeDocument/2006/relationships/hyperlink" Target="consultantplus://offline/ref=CB1E9B2C29DB966E8CA5EC399CE0E4C12487BB9027E8DE4716EF69637DD919C170A0FA74C2B880EAC8EC83263EI9FAG" TargetMode="External"/><Relationship Id="rId19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31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7" Type="http://schemas.openxmlformats.org/officeDocument/2006/relationships/hyperlink" Target="consultantplus://offline/ref=95AF5AF2F00699D517777D26FC1C0ECCA6142420A5B288E18979FE501D2F7531E57076F3AE0CDFF3B6B25B8A14v9MEG" TargetMode="External"/><Relationship Id="rId30" Type="http://schemas.openxmlformats.org/officeDocument/2006/relationships/hyperlink" Target="consultantplus://offline/ref=95AF5AF2F00699D51777632BEA7051C3A61C7A29A7B48AB6D12CF807427F7364B73028AAFE4094FFB5A4478B14800F0F33vEMEG" TargetMode="Externa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B3103-5940-43F5-AAEB-2B6E80B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user</cp:lastModifiedBy>
  <cp:revision>2</cp:revision>
  <cp:lastPrinted>2020-12-22T04:57:00Z</cp:lastPrinted>
  <dcterms:created xsi:type="dcterms:W3CDTF">2021-02-25T03:59:00Z</dcterms:created>
  <dcterms:modified xsi:type="dcterms:W3CDTF">2021-02-25T03:59:00Z</dcterms:modified>
</cp:coreProperties>
</file>